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32"/>
          <w:szCs w:val="32"/>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b w:val="1"/>
          <w:color w:val="5f5f5f"/>
          <w:sz w:val="32"/>
          <w:szCs w:val="32"/>
        </w:rPr>
      </w:pPr>
      <w:r w:rsidDel="00000000" w:rsidR="00000000" w:rsidRPr="00000000">
        <w:rPr>
          <w:rFonts w:ascii="Arial Narrow" w:cs="Arial Narrow" w:eastAsia="Arial Narrow" w:hAnsi="Arial Narrow"/>
          <w:b w:val="1"/>
          <w:color w:val="5f5f5f"/>
          <w:sz w:val="32"/>
          <w:szCs w:val="32"/>
          <w:rtl w:val="0"/>
        </w:rPr>
        <w:t xml:space="preserve">“Urban 95 – Lima Norte” ganó la 5° edición del Concurso de Desarrollo Urbano e Inclusión Social de CAF</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767171"/>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767171"/>
          <w:sz w:val="24"/>
          <w:szCs w:val="24"/>
          <w:u w:val="none"/>
          <w:shd w:fill="auto" w:val="clear"/>
          <w:vertAlign w:val="baseline"/>
          <w:rtl w:val="0"/>
        </w:rPr>
        <w:t xml:space="preserve">Tres propuestas resultaron ganadoras del concurso, mientras que otras ocho recibieron mención honorífica y tres fueron merecedoras de mención. En esta edición se evaluaron 238 propuestas de 14 países miembros de CAF, siendo la convocatoria más exitosa hasta ahora. M</w:t>
      </w:r>
      <w:r w:rsidDel="00000000" w:rsidR="00000000" w:rsidRPr="00000000">
        <w:rPr>
          <w:rFonts w:ascii="Arial Narrow" w:cs="Arial Narrow" w:eastAsia="Arial Narrow" w:hAnsi="Arial Narrow"/>
          <w:i w:val="1"/>
          <w:color w:val="767171"/>
          <w:sz w:val="24"/>
          <w:szCs w:val="24"/>
          <w:rtl w:val="0"/>
        </w:rPr>
        <w:t xml:space="preserve">éxico cuenta con 2 menciones honoríficas por los proyectos “Parque Hídrico La Quebradora” y “Paseo Río Colima”, en la categoría “Agua y Ciudad”.</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5f5f5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808080"/>
          <w:sz w:val="24"/>
          <w:szCs w:val="24"/>
          <w:u w:val="none"/>
          <w:shd w:fill="auto" w:val="clear"/>
          <w:vertAlign w:val="baseline"/>
          <w:rtl w:val="0"/>
        </w:rPr>
        <w:t xml:space="preserve">(</w:t>
      </w:r>
      <w:r w:rsidDel="00000000" w:rsidR="00000000" w:rsidRPr="00000000">
        <w:rPr>
          <w:rFonts w:ascii="Arial Narrow" w:cs="Arial Narrow" w:eastAsia="Arial Narrow" w:hAnsi="Arial Narrow"/>
          <w:color w:val="808080"/>
          <w:sz w:val="24"/>
          <w:szCs w:val="24"/>
          <w:rtl w:val="0"/>
        </w:rPr>
        <w:t xml:space="preserve">Ciudad de México</w:t>
      </w:r>
      <w:r w:rsidDel="00000000" w:rsidR="00000000" w:rsidRPr="00000000">
        <w:rPr>
          <w:rFonts w:ascii="Arial Narrow" w:cs="Arial Narrow" w:eastAsia="Arial Narrow" w:hAnsi="Arial Narrow"/>
          <w:b w:val="0"/>
          <w:i w:val="0"/>
          <w:smallCaps w:val="0"/>
          <w:strike w:val="0"/>
          <w:color w:val="808080"/>
          <w:sz w:val="24"/>
          <w:szCs w:val="24"/>
          <w:u w:val="none"/>
          <w:shd w:fill="auto" w:val="clear"/>
          <w:vertAlign w:val="baseline"/>
          <w:rtl w:val="0"/>
        </w:rPr>
        <w:t xml:space="preserve">, 30 de julio 2018)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La propuesta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Urban 95 – Lima Norte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(Perú) resultó ganadora entre las 238 propuestas provenientes de 14 países miembros de CAF -banco de desarrollo de América Latina- que participaron en la quinta edición del Concurso de Desarrollo Urbano e Inclusión Social. El segundo lugar fue para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Quito seguro. Barrios resilientes como estrategia de desarrollo sostenible para ciudades latinoamericanas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(Ecuador), mientras que el tercer lugar quedó para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“Plataformas de gestión territorial La Silsa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(Venezuela).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jurado consideró que la propuesta </w:t>
      </w:r>
      <w:hyperlink r:id="rId6">
        <w:r w:rsidDel="00000000" w:rsidR="00000000" w:rsidRPr="00000000">
          <w:rPr>
            <w:rFonts w:ascii="Arial Narrow" w:cs="Arial Narrow" w:eastAsia="Arial Narrow" w:hAnsi="Arial Narrow"/>
            <w:b w:val="1"/>
            <w:i w:val="0"/>
            <w:smallCaps w:val="0"/>
            <w:strike w:val="0"/>
            <w:color w:val="0000ff"/>
            <w:sz w:val="24"/>
            <w:szCs w:val="24"/>
            <w:u w:val="single"/>
            <w:shd w:fill="auto" w:val="clear"/>
            <w:vertAlign w:val="baseline"/>
            <w:rtl w:val="0"/>
          </w:rPr>
          <w:t xml:space="preserve">“</w:t>
        </w:r>
      </w:hyperlink>
      <w:hyperlink r:id="rId7">
        <w:r w:rsidDel="00000000" w:rsidR="00000000" w:rsidRPr="00000000">
          <w:rPr>
            <w:rFonts w:ascii="Arial Narrow" w:cs="Arial Narrow" w:eastAsia="Arial Narrow" w:hAnsi="Arial Narrow"/>
            <w:b w:val="1"/>
            <w:i w:val="1"/>
            <w:smallCaps w:val="0"/>
            <w:strike w:val="0"/>
            <w:color w:val="0000ff"/>
            <w:sz w:val="24"/>
            <w:szCs w:val="24"/>
            <w:u w:val="single"/>
            <w:shd w:fill="auto" w:val="clear"/>
            <w:vertAlign w:val="baseline"/>
            <w:rtl w:val="0"/>
          </w:rPr>
          <w:t xml:space="preserve">Urban 95 – Lima Norte</w:t>
        </w:r>
      </w:hyperlink>
      <w:hyperlink r:id="rId8">
        <w:r w:rsidDel="00000000" w:rsidR="00000000" w:rsidRPr="00000000">
          <w:rPr>
            <w:rFonts w:ascii="Arial Narrow" w:cs="Arial Narrow" w:eastAsia="Arial Narrow" w:hAnsi="Arial Narrow"/>
            <w:b w:val="1"/>
            <w:i w:val="0"/>
            <w:smallCaps w:val="0"/>
            <w:strike w:val="0"/>
            <w:color w:val="0000ff"/>
            <w:sz w:val="24"/>
            <w:szCs w:val="24"/>
            <w:u w:val="single"/>
            <w:shd w:fill="auto" w:val="clear"/>
            <w:vertAlign w:val="baseline"/>
            <w:rtl w:val="0"/>
          </w:rPr>
          <w:t xml:space="preserve">”</w:t>
        </w:r>
      </w:hyperlink>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 innovadora al proponer a los niños y niñas como productores activos del espacio urbano y está apoyada en la participación directa de los miembros de la comunidad. De igual forma responde al reto de mejorar el espacio público en un entorno de segregación urbana e informalidad con una dimensión esperanzadora, lírica-lúdica y al mismo tiempo contiene elementos innovadores de diseño, incluyendo un sistema de mobiliario modular de fácil instalación que puede ser adaptado a diferentes contextos, produciendo expresiones únicas.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concurso ha generado un alto impacto respecto a innovación en materia urbana, incentivando el pensamiento colectivo con intervenciones que reconocen la creatividad que surge de propuestas diseñadas desde el territorio, en favor de soluciones a problemáticas específicas. Para CAF, además de gratificante, es enriquecedor llevar adelante este concurso, ya que las novedosas propuestas que se presentan nos posibilitan permanentemente alimentar nuestro entendimiento acerca de las necesidades y oportunidades que América Latina tiene para favorecer un desarrollo más resiliente e inclusivo de sus ciudades”, afirmó Julián Suárez Migliozzi, vicepresidente de Desarrollo Sostenible de CAF.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Concurso de Desarrollo Urbano e Inclusión Social es una iniciativa del Programa Ciudades con Futuro de CAF que busca promover políticas integrales para generar mayor inclusión social, productividad y resiliencia en las ciudades de América Latina. El objetivo del Programa es acompañar a las autoridades latinoamericanas a crear ciudades cada vez más inclusivas, conectadas, integradas espacial, económica y socialmente, con acceso universal a servicios básicos, oportunidades de capacitación y ambientalmente responsables.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equipo responsable de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Urban 95 – Lima norte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recibirá USD 15.000 por ser el ganador del Concurso, mientras que el segundo y tercer premio recibirán USD 5.000 y U</w:t>
      </w:r>
      <w:r w:rsidDel="00000000" w:rsidR="00000000" w:rsidRPr="00000000">
        <w:rPr>
          <w:rFonts w:ascii="Arial Narrow" w:cs="Arial Narrow" w:eastAsia="Arial Narrow" w:hAnsi="Arial Narrow"/>
          <w:sz w:val="24"/>
          <w:szCs w:val="24"/>
          <w:rtl w:val="0"/>
        </w:rPr>
        <w:t xml:space="preserve">SD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3.000 respectivamente.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808080"/>
          <w:sz w:val="24"/>
          <w:szCs w:val="24"/>
          <w:u w:val="none"/>
          <w:shd w:fill="auto" w:val="clear"/>
          <w:vertAlign w:val="baseline"/>
        </w:rPr>
      </w:pPr>
      <w:bookmarkStart w:colFirst="0" w:colLast="0" w:name="_gjdgxs" w:id="0"/>
      <w:bookmarkEnd w:id="0"/>
      <w:hyperlink r:id="rId9">
        <w:r w:rsidDel="00000000" w:rsidR="00000000" w:rsidRPr="00000000">
          <w:rPr>
            <w:rFonts w:ascii="Arial Narrow" w:cs="Arial Narrow" w:eastAsia="Arial Narrow" w:hAnsi="Arial Narrow"/>
            <w:b w:val="1"/>
            <w:i w:val="1"/>
            <w:smallCaps w:val="0"/>
            <w:strike w:val="0"/>
            <w:color w:val="0000ff"/>
            <w:sz w:val="24"/>
            <w:szCs w:val="24"/>
            <w:u w:val="single"/>
            <w:shd w:fill="auto" w:val="clear"/>
            <w:vertAlign w:val="baseline"/>
            <w:rtl w:val="0"/>
          </w:rPr>
          <w:t xml:space="preserve">Quito seguro. Barrios resilientes como estrategia de desarrollo sostenible para ciudades latinoamericanas</w:t>
        </w:r>
      </w:hyperlink>
      <w:hyperlink r:id="rId10">
        <w:r w:rsidDel="00000000" w:rsidR="00000000" w:rsidRPr="00000000">
          <w:rPr>
            <w:rFonts w:ascii="Arial Narrow" w:cs="Arial Narrow" w:eastAsia="Arial Narrow" w:hAnsi="Arial Narrow"/>
            <w:b w:val="1"/>
            <w:i w:val="0"/>
            <w:smallCaps w:val="0"/>
            <w:strike w:val="0"/>
            <w:color w:val="0000ff"/>
            <w:sz w:val="24"/>
            <w:szCs w:val="24"/>
            <w:u w:val="singl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Este proyecto ecuatoriano fue seleccionado por la mirada integral de intervención a escala barrial, en la cual la resiliencia es un catalizador para invertir en el mejoramiento del espacio público y fomentar la participación ciudadana, logrando así múltiples beneficios de una sola inversión en infraestructura. Además, para el jurado, esta propuesta maneja dos condiciones al mismo tiempo: la integración de territorios informales y la necesidad de un territorio más resiliente ante desastres.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 concluye que la propuesta presenta el espacio público como un lugar seguro en situación de emergencia, pero también un espacio de gran calidad para lo cotidiano.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808080"/>
          <w:sz w:val="24"/>
          <w:szCs w:val="24"/>
          <w:u w:val="none"/>
          <w:shd w:fill="auto" w:val="clear"/>
          <w:vertAlign w:val="baseline"/>
        </w:rPr>
      </w:pPr>
      <w:hyperlink r:id="rId11">
        <w:r w:rsidDel="00000000" w:rsidR="00000000" w:rsidRPr="00000000">
          <w:rPr>
            <w:rFonts w:ascii="Arial Narrow" w:cs="Arial Narrow" w:eastAsia="Arial Narrow" w:hAnsi="Arial Narrow"/>
            <w:b w:val="1"/>
            <w:i w:val="1"/>
            <w:smallCaps w:val="0"/>
            <w:strike w:val="0"/>
            <w:color w:val="0000ff"/>
            <w:sz w:val="24"/>
            <w:szCs w:val="24"/>
            <w:u w:val="single"/>
            <w:shd w:fill="auto" w:val="clear"/>
            <w:vertAlign w:val="baseline"/>
            <w:rtl w:val="0"/>
          </w:rPr>
          <w:t xml:space="preserve">Plataformas de gestión territorial La Silsa</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80808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jurado explicó que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“Plataformas de gestión territorial La Silsa”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es un proyecto que surge de las comunidades. Resulta inusual la capacidad técnica/arquitectónica para reformular el significado de la institución pública y enaltece el diseño unido a la creación comunitaria. Se muestra claramente que no existe oposición entre diseño arquitectónico-urbanístico y un involucramiento comunitario participativo; de igual forma demuestran que los espacios aislados o vacantes pueden albergar nuevas funciones públicas que necesita toda ciudad.</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jurado conformado por: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Diana Giambiagi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arquitecta y magister en Planificación para el Desarrollo Urbano por la University College London;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Mayra Madriz</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urbanista y magister en Planificación Comunitaria y Regional y en Estudios de América Latina por la Universidad de Nuevo México y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Washington Fajardo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reconocido arquitecto y urbanista quien tiene una amplia experiencia en la renovación urbana del patrimonio cultural, además de seleccionar las tres propuestas ganadoras otorgó </w:t>
      </w:r>
      <w:hyperlink r:id="rId12">
        <w:r w:rsidDel="00000000" w:rsidR="00000000" w:rsidRPr="00000000">
          <w:rPr>
            <w:rFonts w:ascii="Arial Narrow" w:cs="Arial Narrow" w:eastAsia="Arial Narrow" w:hAnsi="Arial Narrow"/>
            <w:b w:val="0"/>
            <w:i w:val="0"/>
            <w:smallCaps w:val="0"/>
            <w:strike w:val="0"/>
            <w:color w:val="0000ff"/>
            <w:sz w:val="24"/>
            <w:szCs w:val="24"/>
            <w:u w:val="single"/>
            <w:shd w:fill="auto" w:val="clear"/>
            <w:vertAlign w:val="baseline"/>
            <w:rtl w:val="0"/>
          </w:rPr>
          <w:t xml:space="preserve">ocho menciones honoríficas y tres menciones</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Esta edición contó con una amplia difusión de la convocatoria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más de 15.000 visitas al </w:t>
      </w:r>
      <w:hyperlink r:id="rId13">
        <w:r w:rsidDel="00000000" w:rsidR="00000000" w:rsidRPr="00000000">
          <w:rPr>
            <w:rFonts w:ascii="Arial Narrow" w:cs="Arial Narrow" w:eastAsia="Arial Narrow" w:hAnsi="Arial Narrow"/>
            <w:b w:val="1"/>
            <w:i w:val="0"/>
            <w:smallCaps w:val="0"/>
            <w:strike w:val="0"/>
            <w:color w:val="0000ff"/>
            <w:sz w:val="24"/>
            <w:szCs w:val="24"/>
            <w:u w:val="single"/>
            <w:shd w:fill="auto" w:val="clear"/>
            <w:vertAlign w:val="baseline"/>
            <w:rtl w:val="0"/>
          </w:rPr>
          <w:t xml:space="preserve">micrositio</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principalmente de Brasil, Perú, Argentina y Colombia. De igual manera ha sido fundamental el rol de las organizaciones aliadas en la difusión del concurso así como numerosos medios de comunicación de Argentina, Bolivia, Brasil, Chile, Colombia, Ecuador, España, Panamá, Paraguay, Perú y Uruguay.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proyectos mexicanos que recibieron una mención honorífica fueron “Parque Hídrico La Quebradora” y “Paseo Río Colima”, ambos en la categoría de “Agua y Ciudad”. El primero es un proyecto de transformación de un espacio abierto, subutilizado, pero con una importante función de manejo de agua en un espacio público y social que se construye a partir de la demostración de las funciones infraestructurales características del paisaje en la delegación Iztapalapa; el segundo establece un modelo de desarrollo cuyo objetivo es el cambio de paradigma en el sistema socioambiental que regula, aspirando a lograr un aprovechamiento que no desequilibre al medio ambiente y que brinde un autocontrol sobre el mismo desde el compromiso ético, en la región de Colima.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4">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Dirección de Comunicación Estratégica, </w:t>
      </w:r>
      <w:hyperlink r:id="rId16">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24">
      <w:pPr>
        <w:shd w:fill="ffffff" w:val="clear"/>
        <w:contextualSpacing w:val="0"/>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7">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8">
        <w:r w:rsidDel="00000000" w:rsidR="00000000" w:rsidRPr="00000000">
          <w:rPr>
            <w:rFonts w:ascii="Arial Narrow" w:cs="Arial Narrow" w:eastAsia="Arial Narrow" w:hAnsi="Arial Narrow"/>
            <w:color w:val="0000ff"/>
            <w:sz w:val="16"/>
            <w:szCs w:val="16"/>
            <w:u w:val="single"/>
            <w:rtl w:val="0"/>
          </w:rPr>
          <w:t xml:space="preserve">@AgendaCAF</w:t>
        </w:r>
      </w:hyperlink>
      <w:r w:rsidDel="00000000" w:rsidR="00000000" w:rsidRPr="00000000">
        <w:rPr>
          <w:rtl w:val="0"/>
        </w:rPr>
      </w:r>
    </w:p>
    <w:sectPr>
      <w:headerReference r:id="rId19"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310" cy="438785"/>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35331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f.com/es/temas/c/ciudades/concurso-2018/bootstrap_EventoSubtema#eventosresultados" TargetMode="External"/><Relationship Id="rId10" Type="http://schemas.openxmlformats.org/officeDocument/2006/relationships/hyperlink" Target="https://www.caf.com/es/temas/c/ciudades/concurso-2018/bootstrap_EventoSubtema#eventosresultados" TargetMode="External"/><Relationship Id="rId13" Type="http://schemas.openxmlformats.org/officeDocument/2006/relationships/hyperlink" Target="https://www.caf.com/es/temas/c/ciudades/concurso-2018/bootstrap_EventoSubtema" TargetMode="External"/><Relationship Id="rId12" Type="http://schemas.openxmlformats.org/officeDocument/2006/relationships/hyperlink" Target="https://www.caf.com/es/temas/c/ciudades/concurso-2018/bootstrap_EventoSubtema#eventosmencion%20honorifi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com/es/temas/c/ciudades/concurso-2018/bootstrap_EventoSubtema#eventosresultados" TargetMode="External"/><Relationship Id="rId15" Type="http://schemas.openxmlformats.org/officeDocument/2006/relationships/image" Target="media/image3.png"/><Relationship Id="rId14" Type="http://schemas.openxmlformats.org/officeDocument/2006/relationships/hyperlink" Target="http://www.caf.com/" TargetMode="External"/><Relationship Id="rId17" Type="http://schemas.openxmlformats.org/officeDocument/2006/relationships/hyperlink" Target="https://www.facebook.com/CAF.America.Latina" TargetMode="External"/><Relationship Id="rId16" Type="http://schemas.openxmlformats.org/officeDocument/2006/relationships/hyperlink" Target="mailto:prensa@caf.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caf.com/es/temas/c/ciudades/concurso-2018/bootstrap_EventoSubtema#eventosresultados" TargetMode="External"/><Relationship Id="rId18" Type="http://schemas.openxmlformats.org/officeDocument/2006/relationships/hyperlink" Target="https://twitter.com/AgendaCAF" TargetMode="External"/><Relationship Id="rId7" Type="http://schemas.openxmlformats.org/officeDocument/2006/relationships/hyperlink" Target="https://www.caf.com/es/temas/c/ciudades/concurso-2018/bootstrap_EventoSubtema#eventosresultados" TargetMode="External"/><Relationship Id="rId8" Type="http://schemas.openxmlformats.org/officeDocument/2006/relationships/hyperlink" Target="https://www.caf.com/es/temas/c/ciudades/concurso-2018/bootstrap_EventoSubtema#eventosresultad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